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77E2" w14:textId="5E5BE959" w:rsidR="00BC6C43" w:rsidRPr="00BC6C43" w:rsidRDefault="00BC6C43">
      <w:pPr>
        <w:pStyle w:val="LO-Normal"/>
        <w:autoSpaceDE w:val="0"/>
        <w:jc w:val="both"/>
        <w:rPr>
          <w:rFonts w:asciiTheme="minorHAnsi" w:hAnsiTheme="minorHAnsi" w:cstheme="minorHAnsi"/>
          <w:bCs/>
        </w:rPr>
      </w:pPr>
    </w:p>
    <w:p w14:paraId="7C3AEDF7" w14:textId="77777777" w:rsidR="00BC6C43" w:rsidRPr="00BC6C43" w:rsidRDefault="00BC6C43" w:rsidP="00BC6C43">
      <w:pPr>
        <w:suppressAutoHyphens w:val="0"/>
        <w:spacing w:before="119" w:after="119"/>
        <w:ind w:left="567"/>
        <w:jc w:val="center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8"/>
          <w:lang w:eastAsia="es-ES" w:bidi="ar-SA"/>
        </w:rPr>
        <w:t>INFORME DE IMPACTO DE GÉNERO</w:t>
      </w:r>
    </w:p>
    <w:p w14:paraId="7BC80939" w14:textId="77777777" w:rsidR="00BC6C43" w:rsidRPr="00BC6C43" w:rsidRDefault="00BC6C43" w:rsidP="00BC6C43">
      <w:pPr>
        <w:suppressAutoHyphens w:val="0"/>
        <w:spacing w:before="119" w:after="240"/>
        <w:ind w:left="567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</w:p>
    <w:p w14:paraId="4416D082" w14:textId="77777777" w:rsidR="00BC6C43" w:rsidRPr="00BC6C43" w:rsidRDefault="00BC6C43" w:rsidP="00BC6C43">
      <w:pPr>
        <w:numPr>
          <w:ilvl w:val="0"/>
          <w:numId w:val="2"/>
        </w:numPr>
        <w:suppressAutoHyphens w:val="0"/>
        <w:spacing w:before="119" w:after="119" w:line="259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DESCRIPCIÓN GENERAL DEL PROYECTO O NORMA</w:t>
      </w:r>
    </w:p>
    <w:p w14:paraId="3A49EE5B" w14:textId="77777777" w:rsidR="00BC6C43" w:rsidRPr="00BC6C43" w:rsidRDefault="00BC6C43" w:rsidP="00BC6C43">
      <w:pPr>
        <w:suppressAutoHyphens w:val="0"/>
        <w:spacing w:before="119" w:after="119"/>
        <w:ind w:left="851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Denominación del proyecto o norma</w:t>
      </w:r>
    </w:p>
    <w:p w14:paraId="4149FED0" w14:textId="77777777" w:rsidR="00BC6C43" w:rsidRPr="00BC6C43" w:rsidRDefault="00BC6C43" w:rsidP="00BC6C43">
      <w:pPr>
        <w:suppressAutoHyphens w:val="0"/>
        <w:spacing w:before="119" w:after="119"/>
        <w:ind w:left="851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val="ca-ES"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val="ca-ES" w:eastAsia="es-ES" w:bidi="ar-SA"/>
        </w:rPr>
        <w:t>……………………………………………………………………………………</w:t>
      </w:r>
    </w:p>
    <w:p w14:paraId="4EC13EAA" w14:textId="77777777" w:rsidR="00BC6C43" w:rsidRPr="00BC6C43" w:rsidRDefault="00BC6C43" w:rsidP="00BC6C43">
      <w:pPr>
        <w:suppressAutoHyphens w:val="0"/>
        <w:spacing w:before="119" w:after="119"/>
        <w:ind w:left="851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Órgano administrativo que lo promueve</w:t>
      </w:r>
    </w:p>
    <w:p w14:paraId="668DD613" w14:textId="77777777" w:rsidR="00BC6C43" w:rsidRPr="00BC6C43" w:rsidRDefault="00BC6C43" w:rsidP="00BC6C43">
      <w:pPr>
        <w:suppressAutoHyphens w:val="0"/>
        <w:spacing w:before="119" w:after="119"/>
        <w:ind w:left="851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val="ca-ES"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val="ca-ES" w:eastAsia="es-ES" w:bidi="ar-SA"/>
        </w:rPr>
        <w:t>……………………………………………………………………………………</w:t>
      </w:r>
    </w:p>
    <w:p w14:paraId="6A5A7A54" w14:textId="77777777" w:rsidR="00BC6C43" w:rsidRPr="00BC6C43" w:rsidRDefault="00BC6C43" w:rsidP="00BC6C43">
      <w:pPr>
        <w:suppressAutoHyphens w:val="0"/>
        <w:spacing w:before="119" w:after="119"/>
        <w:ind w:left="851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Contexto o ámbito de actuación de la norma</w:t>
      </w:r>
    </w:p>
    <w:p w14:paraId="2C13EA25" w14:textId="77777777" w:rsidR="00BC6C43" w:rsidRPr="00BC6C43" w:rsidRDefault="00BC6C43" w:rsidP="00BC6C43">
      <w:pPr>
        <w:suppressAutoHyphens w:val="0"/>
        <w:spacing w:before="119" w:after="119"/>
        <w:ind w:left="851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val="ca-ES"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val="ca-ES" w:eastAsia="es-ES" w:bidi="ar-SA"/>
        </w:rPr>
        <w:t>……………………………………………………………………………………</w:t>
      </w:r>
    </w:p>
    <w:p w14:paraId="130A4A10" w14:textId="77777777" w:rsidR="00BC6C43" w:rsidRPr="00BC6C43" w:rsidRDefault="00BC6C43" w:rsidP="00BC6C43">
      <w:pPr>
        <w:suppressAutoHyphens w:val="0"/>
        <w:spacing w:before="119" w:after="119"/>
        <w:ind w:left="851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Objetivos generales del proyecto</w:t>
      </w:r>
    </w:p>
    <w:p w14:paraId="0CC7F945" w14:textId="77777777" w:rsidR="00BC6C43" w:rsidRPr="00BC6C43" w:rsidRDefault="00BC6C43" w:rsidP="00BC6C43">
      <w:pPr>
        <w:suppressAutoHyphens w:val="0"/>
        <w:spacing w:before="119" w:after="119"/>
        <w:ind w:left="851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val="ca-ES"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val="ca-ES" w:eastAsia="es-ES" w:bidi="ar-SA"/>
        </w:rPr>
        <w:t>……………………………………………………………………………………</w:t>
      </w:r>
    </w:p>
    <w:p w14:paraId="6EB27B0B" w14:textId="77777777" w:rsidR="00BC6C43" w:rsidRPr="00BC6C43" w:rsidRDefault="00BC6C43" w:rsidP="00BC6C43">
      <w:pPr>
        <w:suppressAutoHyphens w:val="0"/>
        <w:spacing w:before="119" w:after="119"/>
        <w:ind w:left="851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Objetivos para promover la igualdad entre mujeres y hombres</w:t>
      </w:r>
    </w:p>
    <w:p w14:paraId="502750ED" w14:textId="77777777" w:rsidR="00BC6C43" w:rsidRPr="00BC6C43" w:rsidRDefault="00BC6C43" w:rsidP="00BC6C43">
      <w:pPr>
        <w:suppressAutoHyphens w:val="0"/>
        <w:spacing w:before="119" w:after="119"/>
        <w:ind w:left="851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………………………………………………………………………………</w:t>
      </w: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val="ca-ES" w:eastAsia="es-ES" w:bidi="ar-SA"/>
        </w:rPr>
        <w:t>.……</w:t>
      </w:r>
    </w:p>
    <w:p w14:paraId="0F587EB9" w14:textId="77777777" w:rsidR="00BC6C43" w:rsidRPr="00BC6C43" w:rsidRDefault="00BC6C43" w:rsidP="00BC6C43">
      <w:pPr>
        <w:suppressAutoHyphens w:val="0"/>
        <w:spacing w:before="119" w:after="240"/>
        <w:ind w:left="919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val="ca-ES" w:eastAsia="es-ES" w:bidi="ar-SA"/>
        </w:rPr>
      </w:pPr>
    </w:p>
    <w:p w14:paraId="510244E4" w14:textId="77777777" w:rsidR="00BC6C43" w:rsidRPr="00BC6C43" w:rsidRDefault="00BC6C43" w:rsidP="00AA7C5A">
      <w:pPr>
        <w:numPr>
          <w:ilvl w:val="0"/>
          <w:numId w:val="3"/>
        </w:numPr>
        <w:suppressAutoHyphens w:val="0"/>
        <w:spacing w:before="119" w:after="119" w:line="259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ANÁLISIS DE LA PERTINENCIA DE GÉNERO</w:t>
      </w:r>
    </w:p>
    <w:p w14:paraId="5F19B5D1" w14:textId="501304D0" w:rsidR="00BC6C43" w:rsidRPr="00350685" w:rsidRDefault="00BC6C43" w:rsidP="00AA7C5A">
      <w:pPr>
        <w:suppressAutoHyphens w:val="0"/>
        <w:spacing w:before="119" w:after="119"/>
        <w:ind w:left="913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</w:pPr>
      <w:r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 xml:space="preserve">(Justificación de la respuesta afirmativa o negativa. Hay que tener en cuenta si la propuesta va dirigida a uno o más grupos objetivos, si afectará su vida diaria, y si existen en ese ámbito diferencias entre hombres y mujeres </w:t>
      </w:r>
      <w:r w:rsidR="00974D0A"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 xml:space="preserve">de carácter </w:t>
      </w:r>
      <w:r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>económico</w:t>
      </w:r>
      <w:r w:rsidR="00B7761F"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>,</w:t>
      </w:r>
      <w:r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 xml:space="preserve"> social, </w:t>
      </w:r>
      <w:r w:rsidR="00B7761F"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 xml:space="preserve">cultural, </w:t>
      </w:r>
      <w:r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 xml:space="preserve">educativo, </w:t>
      </w:r>
      <w:r w:rsidR="00B7761F"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 xml:space="preserve">y </w:t>
      </w:r>
      <w:r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>de participación y representación en órganos de decisión)</w:t>
      </w:r>
      <w:r w:rsidR="00B1775D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>.</w:t>
      </w:r>
    </w:p>
    <w:p w14:paraId="78610EB4" w14:textId="77777777" w:rsidR="00BC6C43" w:rsidRPr="00BC6C43" w:rsidRDefault="00BC6C43" w:rsidP="00BC6C43">
      <w:pPr>
        <w:suppressAutoHyphens w:val="0"/>
        <w:spacing w:before="119" w:after="240"/>
        <w:ind w:left="913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</w:p>
    <w:p w14:paraId="3E7E124A" w14:textId="77777777" w:rsidR="00BC6C43" w:rsidRPr="00BC6C43" w:rsidRDefault="00BC6C43" w:rsidP="00AA7C5A">
      <w:pPr>
        <w:numPr>
          <w:ilvl w:val="0"/>
          <w:numId w:val="4"/>
        </w:numPr>
        <w:suppressAutoHyphens w:val="0"/>
        <w:spacing w:before="119" w:after="119" w:line="259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ANÁLISIS DE LA SITUACIÓN</w:t>
      </w:r>
    </w:p>
    <w:p w14:paraId="05908750" w14:textId="04AC8492" w:rsidR="00BC6C43" w:rsidRPr="00350685" w:rsidRDefault="00BC6C43" w:rsidP="00AA7C5A">
      <w:pPr>
        <w:suppressAutoHyphens w:val="0"/>
        <w:spacing w:before="119" w:after="119"/>
        <w:ind w:left="913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</w:pPr>
      <w:r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 xml:space="preserve">(Descripción de la situación de partida utilizando indicadores de género cualitativos y cuantitativos respecto a la presencia de hombres y mujeres en el ámbito de actuación por medio de estadísticas oficiales desagregadas por sexo -INE, IVE, CIS, Eurostat-, así como también estudios, investigaciones, encuestas sobre las relaciones de género en el ámbito. </w:t>
      </w:r>
      <w:r w:rsidR="001D1C8D"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 xml:space="preserve">Cuando la información no esté referida al marco territorial que interesa sino a uno superior, se utilizará esta, pues razonablemente, por analogía, si las situaciones y factores de desigualdad están presentes en el ámbito superior, también lo estarán en el inferior. </w:t>
      </w:r>
      <w:r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>Se recomienda incluir una breve conclusión del análisis)</w:t>
      </w:r>
      <w:r w:rsidR="00B1775D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>.</w:t>
      </w:r>
    </w:p>
    <w:p w14:paraId="14A3C728" w14:textId="77777777" w:rsidR="00BC6C43" w:rsidRPr="00BC6C43" w:rsidRDefault="00BC6C43" w:rsidP="00AA7C5A">
      <w:pPr>
        <w:suppressAutoHyphens w:val="0"/>
        <w:spacing w:before="119" w:after="240"/>
        <w:ind w:left="913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val="en-US" w:eastAsia="es-ES" w:bidi="ar-SA"/>
        </w:rPr>
      </w:pPr>
    </w:p>
    <w:p w14:paraId="6A1BFAC2" w14:textId="77777777" w:rsidR="00BC6C43" w:rsidRPr="00BC6C43" w:rsidRDefault="00BC6C43" w:rsidP="00AA7C5A">
      <w:pPr>
        <w:numPr>
          <w:ilvl w:val="0"/>
          <w:numId w:val="5"/>
        </w:numPr>
        <w:suppressAutoHyphens w:val="0"/>
        <w:spacing w:before="119" w:after="119" w:line="259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PREVISIÓN DE EFECTOS SOBRE LA IGUALDAD</w:t>
      </w:r>
    </w:p>
    <w:p w14:paraId="4E6FCB47" w14:textId="21B95C48" w:rsidR="00BC6C43" w:rsidRDefault="00BC6C43" w:rsidP="00AA7C5A">
      <w:pPr>
        <w:suppressAutoHyphens w:val="0"/>
        <w:spacing w:before="119" w:after="119"/>
        <w:ind w:left="913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</w:pPr>
      <w:r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>(</w:t>
      </w:r>
      <w:r w:rsidR="001D1C8D"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>Cualquier proyecto normativo, plan o programa cuya ejecución tenga efectos sobre las personas, necesariamente afectará a mujeres y hombres, y por lo tanto tendrá impacto sobre el género</w:t>
      </w:r>
      <w:r w:rsidR="00AA7C5A"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>.</w:t>
      </w:r>
      <w:r w:rsidR="001D1C8D"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 xml:space="preserve"> </w:t>
      </w:r>
      <w:r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>Descripción de la previsión de resultados positivos o negativos en la igualdad).</w:t>
      </w:r>
    </w:p>
    <w:p w14:paraId="5F15F133" w14:textId="77777777" w:rsidR="00350685" w:rsidRPr="00350685" w:rsidRDefault="00350685" w:rsidP="00AA7C5A">
      <w:pPr>
        <w:suppressAutoHyphens w:val="0"/>
        <w:spacing w:before="119" w:after="119"/>
        <w:ind w:left="913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</w:pPr>
    </w:p>
    <w:p w14:paraId="75570DC9" w14:textId="77777777" w:rsidR="00BC6C43" w:rsidRPr="00BC6C43" w:rsidRDefault="00BC6C43" w:rsidP="00BC6C43">
      <w:pPr>
        <w:suppressAutoHyphens w:val="0"/>
        <w:spacing w:before="119" w:after="119" w:line="259" w:lineRule="auto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</w:p>
    <w:p w14:paraId="272B5E07" w14:textId="77777777" w:rsidR="00350685" w:rsidRPr="00350685" w:rsidRDefault="00350685" w:rsidP="00350685">
      <w:pPr>
        <w:suppressAutoHyphens w:val="0"/>
        <w:spacing w:before="119" w:after="119" w:line="259" w:lineRule="auto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</w:p>
    <w:p w14:paraId="0417568F" w14:textId="67D31076" w:rsidR="00BC6C43" w:rsidRDefault="00BC6C43" w:rsidP="00BC6C43">
      <w:pPr>
        <w:numPr>
          <w:ilvl w:val="0"/>
          <w:numId w:val="6"/>
        </w:numPr>
        <w:suppressAutoHyphens w:val="0"/>
        <w:spacing w:before="119" w:after="119" w:line="259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VALORACIÓN DEL IMPACTO DE GÉNERO</w:t>
      </w:r>
      <w:r w:rsidR="00AA7C5A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 xml:space="preserve"> </w:t>
      </w:r>
      <w:r w:rsidR="00AA7C5A" w:rsidRPr="00AA7C5A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EN DISTINTOS ÁMBITOS</w:t>
      </w:r>
      <w:r w:rsidR="00AA7C5A" w:rsidRPr="00AA7C5A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 xml:space="preserve"> </w:t>
      </w:r>
    </w:p>
    <w:p w14:paraId="520A72C8" w14:textId="202803C1" w:rsidR="00AA7C5A" w:rsidRPr="00350685" w:rsidRDefault="00AA7C5A" w:rsidP="00AA7C5A">
      <w:pPr>
        <w:suppressAutoHyphens w:val="0"/>
        <w:spacing w:before="119" w:after="119" w:line="259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</w:pPr>
      <w:r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 xml:space="preserve">(Análisis y valoración de la capacidad del proyecto o norma para reducir las desigualdades, si incide de manera directa o indirecta en la superación o modificación de roles y/o estereotipos de género que se aprenden en el proceso de socialización y que perpetúan maneras de ser y hacer diferentes y jerarquizadas, además de favorecer el mantenimiento de la división sexual del trabajo. Igualmente, se ha de valorar si el proyecto o norma proporciona a las mujeres acceso a recursos y servicios que fomentan su autonomía económica y empoderamiento. Se entiende que los </w:t>
      </w:r>
      <w:r w:rsidRPr="00350685">
        <w:rPr>
          <w:rFonts w:asciiTheme="minorHAnsi" w:eastAsia="Times New Roman" w:hAnsiTheme="minorHAnsi" w:cstheme="minorHAnsi"/>
          <w:b/>
          <w:bCs/>
          <w:color w:val="000000"/>
          <w:kern w:val="0"/>
          <w:szCs w:val="22"/>
          <w:lang w:eastAsia="es-ES" w:bidi="ar-SA"/>
        </w:rPr>
        <w:t>recursos</w:t>
      </w:r>
      <w:r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 xml:space="preserve"> hacen referencia a la economía, el territorio, el espacio, el empleo, la vivienda, los medios de transporte, etc. Finalmente, si la norma o proyecto fomenta la presencia y la participación equilibrada de las mujeres en los espacios en que están subrepresentadas y si afecta al cumplimiento de alguna normativa en materia de igualdad)</w:t>
      </w:r>
      <w:r w:rsidR="00B1775D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 xml:space="preserve">. </w:t>
      </w:r>
    </w:p>
    <w:p w14:paraId="514FE600" w14:textId="77777777" w:rsidR="00AA7C5A" w:rsidRPr="00BC6C43" w:rsidRDefault="00AA7C5A" w:rsidP="00AA7C5A">
      <w:pPr>
        <w:suppressAutoHyphens w:val="0"/>
        <w:spacing w:before="119" w:after="119" w:line="259" w:lineRule="auto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</w:p>
    <w:p w14:paraId="0E606E44" w14:textId="77777777" w:rsidR="00BC6C43" w:rsidRPr="00BC6C43" w:rsidRDefault="00BC6C43" w:rsidP="00BC6C43">
      <w:pPr>
        <w:numPr>
          <w:ilvl w:val="1"/>
          <w:numId w:val="6"/>
        </w:numPr>
        <w:suppressAutoHyphens w:val="0"/>
        <w:spacing w:before="119" w:after="119" w:line="259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Presencia de mujeres y hombres</w:t>
      </w:r>
    </w:p>
    <w:p w14:paraId="2472D0AA" w14:textId="77777777" w:rsidR="00BC6C43" w:rsidRPr="00BC6C43" w:rsidRDefault="00BC6C43" w:rsidP="00BC6C43">
      <w:pPr>
        <w:suppressAutoHyphens w:val="0"/>
        <w:spacing w:before="119" w:after="119"/>
        <w:ind w:left="1985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Impacto y justificación</w:t>
      </w:r>
    </w:p>
    <w:p w14:paraId="63BBD8CE" w14:textId="77777777" w:rsidR="00BC6C43" w:rsidRPr="00BC6C43" w:rsidRDefault="00BC6C43" w:rsidP="00BC6C43">
      <w:pPr>
        <w:numPr>
          <w:ilvl w:val="1"/>
          <w:numId w:val="7"/>
        </w:numPr>
        <w:suppressAutoHyphens w:val="0"/>
        <w:spacing w:before="119" w:after="119" w:line="259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Acceso a los recursos</w:t>
      </w:r>
    </w:p>
    <w:p w14:paraId="387948E1" w14:textId="77777777" w:rsidR="00BC6C43" w:rsidRPr="00BC6C43" w:rsidRDefault="00BC6C43" w:rsidP="00BC6C43">
      <w:pPr>
        <w:suppressAutoHyphens w:val="0"/>
        <w:spacing w:before="119" w:after="119"/>
        <w:ind w:left="1985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Impacto y justificación</w:t>
      </w:r>
    </w:p>
    <w:p w14:paraId="1FEDA4C0" w14:textId="77777777" w:rsidR="00BC6C43" w:rsidRPr="00BC6C43" w:rsidRDefault="00BC6C43" w:rsidP="00BC6C43">
      <w:pPr>
        <w:numPr>
          <w:ilvl w:val="1"/>
          <w:numId w:val="8"/>
        </w:numPr>
        <w:suppressAutoHyphens w:val="0"/>
        <w:spacing w:before="119" w:after="119" w:line="259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Participación en la toma de decisiones</w:t>
      </w:r>
    </w:p>
    <w:p w14:paraId="7AD61863" w14:textId="77777777" w:rsidR="00BC6C43" w:rsidRPr="00BC6C43" w:rsidRDefault="00BC6C43" w:rsidP="00BC6C43">
      <w:pPr>
        <w:suppressAutoHyphens w:val="0"/>
        <w:spacing w:before="119" w:after="119"/>
        <w:ind w:left="1985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Impacto y justificación</w:t>
      </w:r>
    </w:p>
    <w:p w14:paraId="0272887A" w14:textId="77777777" w:rsidR="00BC6C43" w:rsidRPr="00BC6C43" w:rsidRDefault="00BC6C43" w:rsidP="00BC6C43">
      <w:pPr>
        <w:numPr>
          <w:ilvl w:val="1"/>
          <w:numId w:val="9"/>
        </w:numPr>
        <w:suppressAutoHyphens w:val="0"/>
        <w:spacing w:before="119" w:after="119" w:line="259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Normas sociales y valores</w:t>
      </w:r>
    </w:p>
    <w:p w14:paraId="7EEA6331" w14:textId="77777777" w:rsidR="00BC6C43" w:rsidRPr="00BC6C43" w:rsidRDefault="00BC6C43" w:rsidP="00BC6C43">
      <w:pPr>
        <w:suppressAutoHyphens w:val="0"/>
        <w:spacing w:before="119" w:after="119"/>
        <w:ind w:left="1985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Impacto y justificación</w:t>
      </w:r>
    </w:p>
    <w:p w14:paraId="00EC5BD3" w14:textId="77777777" w:rsidR="00BC6C43" w:rsidRPr="00BC6C43" w:rsidRDefault="00BC6C43" w:rsidP="00BC6C43">
      <w:pPr>
        <w:numPr>
          <w:ilvl w:val="1"/>
          <w:numId w:val="10"/>
        </w:numPr>
        <w:suppressAutoHyphens w:val="0"/>
        <w:spacing w:before="119" w:after="119" w:line="259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Cumplimiento de la normativa en materia de igualdad</w:t>
      </w:r>
    </w:p>
    <w:p w14:paraId="068B4C01" w14:textId="77777777" w:rsidR="00BC6C43" w:rsidRPr="00BC6C43" w:rsidRDefault="00BC6C43" w:rsidP="00BC6C43">
      <w:pPr>
        <w:suppressAutoHyphens w:val="0"/>
        <w:spacing w:before="119" w:after="119"/>
        <w:ind w:left="1985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Impacto y justificación</w:t>
      </w:r>
    </w:p>
    <w:p w14:paraId="28EF6522" w14:textId="77777777" w:rsidR="00BC6C43" w:rsidRPr="00BC6C43" w:rsidRDefault="00BC6C43" w:rsidP="00BC6C43">
      <w:pPr>
        <w:suppressAutoHyphens w:val="0"/>
        <w:spacing w:before="119" w:after="240"/>
        <w:ind w:left="1985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</w:p>
    <w:p w14:paraId="0307931E" w14:textId="5552148D" w:rsidR="00BC6C43" w:rsidRDefault="00BC6C43" w:rsidP="00BC6C43">
      <w:pPr>
        <w:numPr>
          <w:ilvl w:val="0"/>
          <w:numId w:val="11"/>
        </w:numPr>
        <w:suppressAutoHyphens w:val="0"/>
        <w:spacing w:before="119" w:after="119" w:line="259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 xml:space="preserve">VALORACIÓN DEL IMPACTO DE GÉNERO </w:t>
      </w: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(Marquen lo que consideren procedente)</w:t>
      </w:r>
    </w:p>
    <w:p w14:paraId="48EB4445" w14:textId="3A24BD42" w:rsidR="00AA7C5A" w:rsidRPr="00350685" w:rsidRDefault="00AA7C5A" w:rsidP="00AA7C5A">
      <w:pPr>
        <w:suppressAutoHyphens w:val="0"/>
        <w:spacing w:before="119" w:after="119" w:line="259" w:lineRule="auto"/>
        <w:ind w:left="72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</w:pPr>
      <w:r w:rsidRPr="00350685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>(Solo cabrá entender que no existe impacto por razón de género cuando la norma o proyecto no incida, en absoluto, en la posición personal y social de mujeres y hombres, por lo que no afecta en nada al logro de la igualdad efectiva. Sería el caso de, por ejemplo, la regulación de los estándares y calidades de los materiales que se emplean en la edificación y urbanización o las normas medioambientales por las que se designan o delimitan zonas de especial conservación, pues su determinación presumiblemente no va a generar ni beneficio ni perjuicio directo o indirecto en las personas)</w:t>
      </w:r>
      <w:r w:rsidR="00B1775D">
        <w:rPr>
          <w:rFonts w:asciiTheme="minorHAnsi" w:eastAsia="Times New Roman" w:hAnsiTheme="minorHAnsi" w:cstheme="minorHAnsi"/>
          <w:color w:val="000000"/>
          <w:kern w:val="0"/>
          <w:szCs w:val="22"/>
          <w:lang w:eastAsia="es-ES" w:bidi="ar-SA"/>
        </w:rPr>
        <w:t>.</w:t>
      </w:r>
    </w:p>
    <w:p w14:paraId="54A39E35" w14:textId="77777777" w:rsidR="00BC6C43" w:rsidRPr="00BC6C43" w:rsidRDefault="00BC6C43" w:rsidP="00BC6C43">
      <w:pPr>
        <w:suppressAutoHyphens w:val="0"/>
        <w:spacing w:before="119" w:after="119"/>
        <w:ind w:left="913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(Argumentación)</w:t>
      </w:r>
    </w:p>
    <w:p w14:paraId="23F93136" w14:textId="77777777" w:rsidR="00BC6C43" w:rsidRPr="00BC6C43" w:rsidRDefault="00BC6C43" w:rsidP="00BC6C43">
      <w:pPr>
        <w:suppressAutoHyphens w:val="0"/>
        <w:spacing w:before="119" w:after="119"/>
        <w:ind w:left="913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 xml:space="preserve">Positivo </w:t>
      </w:r>
    </w:p>
    <w:p w14:paraId="29E19E2A" w14:textId="639EC824" w:rsidR="00BC6C43" w:rsidRDefault="00BC6C43" w:rsidP="00BC6C43">
      <w:pPr>
        <w:suppressAutoHyphens w:val="0"/>
        <w:spacing w:before="119" w:after="119"/>
        <w:ind w:left="913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 xml:space="preserve">Negativo </w:t>
      </w:r>
    </w:p>
    <w:p w14:paraId="5D70E950" w14:textId="77777777" w:rsidR="00D83527" w:rsidRPr="00BC6C43" w:rsidRDefault="00D83527" w:rsidP="00BC6C43">
      <w:pPr>
        <w:suppressAutoHyphens w:val="0"/>
        <w:spacing w:before="119" w:after="119"/>
        <w:ind w:left="913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</w:p>
    <w:p w14:paraId="4F7D77EA" w14:textId="77777777" w:rsidR="00BC6C43" w:rsidRPr="00BC6C43" w:rsidRDefault="00BC6C43" w:rsidP="00BC6C43">
      <w:pPr>
        <w:suppressAutoHyphens w:val="0"/>
        <w:spacing w:before="119" w:after="240"/>
        <w:ind w:left="913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</w:p>
    <w:p w14:paraId="371796E3" w14:textId="77777777" w:rsidR="00D83527" w:rsidRPr="00D83527" w:rsidRDefault="00D83527" w:rsidP="00D83527">
      <w:pPr>
        <w:suppressAutoHyphens w:val="0"/>
        <w:spacing w:before="119" w:after="119" w:line="259" w:lineRule="auto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</w:p>
    <w:p w14:paraId="1B6E30DD" w14:textId="4FB392E7" w:rsidR="00BC6C43" w:rsidRPr="00BC6C43" w:rsidRDefault="00BC6C43" w:rsidP="00BC6C43">
      <w:pPr>
        <w:numPr>
          <w:ilvl w:val="0"/>
          <w:numId w:val="12"/>
        </w:numPr>
        <w:suppressAutoHyphens w:val="0"/>
        <w:spacing w:before="119" w:after="119" w:line="259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PROPUESTAS DE MODIFICACIÓN</w:t>
      </w:r>
      <w:r w:rsidR="00AA7C5A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 xml:space="preserve"> </w:t>
      </w:r>
      <w:r w:rsidR="00AA7C5A" w:rsidRPr="00AA7C5A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Y/O DE MEDIDAS COMPLEMENTARIAS</w:t>
      </w:r>
    </w:p>
    <w:p w14:paraId="6D55547E" w14:textId="77777777" w:rsidR="00BC6C43" w:rsidRPr="00BC6C43" w:rsidRDefault="00BC6C43" w:rsidP="00BC6C43">
      <w:pPr>
        <w:numPr>
          <w:ilvl w:val="0"/>
          <w:numId w:val="13"/>
        </w:numPr>
        <w:suppressAutoHyphens w:val="0"/>
        <w:spacing w:before="119" w:after="119" w:line="259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En la propia norma o política</w:t>
      </w:r>
    </w:p>
    <w:p w14:paraId="7D97472D" w14:textId="0F48A5FF" w:rsidR="00BC6C43" w:rsidRPr="00BC6C43" w:rsidRDefault="00BC6C43" w:rsidP="00BC6C43">
      <w:pPr>
        <w:suppressAutoHyphens w:val="0"/>
        <w:spacing w:before="119" w:after="119"/>
        <w:ind w:left="1622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(Descripción de modificaciones a incluir en el texto y contenidos)</w:t>
      </w:r>
      <w:r w:rsidR="00D9251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.</w:t>
      </w:r>
    </w:p>
    <w:p w14:paraId="2F928EA5" w14:textId="77777777" w:rsidR="00BC6C43" w:rsidRPr="00BC6C43" w:rsidRDefault="00BC6C43" w:rsidP="00BC6C43">
      <w:pPr>
        <w:numPr>
          <w:ilvl w:val="0"/>
          <w:numId w:val="14"/>
        </w:numPr>
        <w:suppressAutoHyphens w:val="0"/>
        <w:spacing w:before="119" w:after="119" w:line="259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lang w:eastAsia="es-ES" w:bidi="ar-SA"/>
        </w:rPr>
        <w:t>Otras actuaciones o futuras normas</w:t>
      </w:r>
    </w:p>
    <w:p w14:paraId="24772F2D" w14:textId="7114DBC9" w:rsidR="00BC6C43" w:rsidRPr="00BC6C43" w:rsidRDefault="00BC6C43" w:rsidP="00BC6C43">
      <w:pPr>
        <w:suppressAutoHyphens w:val="0"/>
        <w:spacing w:before="119" w:after="119"/>
        <w:ind w:left="1622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</w:pPr>
      <w:r w:rsidRPr="00BC6C4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(Propuestas de adopción de medidas dirigidas a complementar o mejorar la eficacia de la norma o política)</w:t>
      </w:r>
      <w:r w:rsidR="00D92513">
        <w:rPr>
          <w:rFonts w:asciiTheme="minorHAnsi" w:eastAsia="Times New Roman" w:hAnsiTheme="minorHAnsi" w:cstheme="minorHAnsi"/>
          <w:color w:val="000000"/>
          <w:kern w:val="0"/>
          <w:sz w:val="24"/>
          <w:lang w:eastAsia="es-ES" w:bidi="ar-SA"/>
        </w:rPr>
        <w:t>.</w:t>
      </w:r>
    </w:p>
    <w:sectPr w:rsidR="00BC6C43" w:rsidRPr="00BC6C43">
      <w:headerReference w:type="default" r:id="rId7"/>
      <w:footerReference w:type="default" r:id="rId8"/>
      <w:headerReference w:type="first" r:id="rId9"/>
      <w:pgSz w:w="11906" w:h="16838"/>
      <w:pgMar w:top="737" w:right="1134" w:bottom="720" w:left="1134" w:header="680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B2E5" w14:textId="77777777" w:rsidR="0003357A" w:rsidRDefault="00BC6C43">
      <w:r>
        <w:separator/>
      </w:r>
    </w:p>
  </w:endnote>
  <w:endnote w:type="continuationSeparator" w:id="0">
    <w:p w14:paraId="1DF4A6D1" w14:textId="77777777" w:rsidR="0003357A" w:rsidRDefault="00BC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E275" w14:textId="77777777" w:rsidR="0091645A" w:rsidRDefault="0091645A">
    <w:pPr>
      <w:pStyle w:val="Piedepgina"/>
      <w:jc w:val="right"/>
    </w:pPr>
  </w:p>
  <w:p w14:paraId="2CD76E55" w14:textId="77777777" w:rsidR="0091645A" w:rsidRDefault="00BC6C43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8827" w14:textId="77777777" w:rsidR="0003357A" w:rsidRDefault="00BC6C43">
      <w:r>
        <w:separator/>
      </w:r>
    </w:p>
  </w:footnote>
  <w:footnote w:type="continuationSeparator" w:id="0">
    <w:p w14:paraId="1AE13741" w14:textId="77777777" w:rsidR="0003357A" w:rsidRDefault="00BC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0A6" w14:textId="77777777" w:rsidR="0091645A" w:rsidRDefault="00BC6C43">
    <w:pPr>
      <w:pStyle w:val="Encabezado"/>
      <w:jc w:val="both"/>
    </w:pPr>
    <w:r>
      <w:t xml:space="preserve"> </w:t>
    </w:r>
    <w:r>
      <w:rPr>
        <w:noProof/>
        <w:lang w:eastAsia="es-ES" w:bidi="ar-SA"/>
      </w:rPr>
      <w:drawing>
        <wp:inline distT="0" distB="0" distL="0" distR="0" wp14:anchorId="1947D2F9" wp14:editId="73754FF4">
          <wp:extent cx="289560" cy="719455"/>
          <wp:effectExtent l="0" t="0" r="0" b="0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CC6B" w14:textId="77777777" w:rsidR="0091645A" w:rsidRDefault="00BC6C43">
    <w:pPr>
      <w:pStyle w:val="Encabezado"/>
    </w:pPr>
    <w:r>
      <w:rPr>
        <w:noProof/>
        <w:lang w:eastAsia="es-ES" w:bidi="ar-SA"/>
      </w:rPr>
      <w:drawing>
        <wp:inline distT="0" distB="0" distL="0" distR="0" wp14:anchorId="76893800" wp14:editId="09365BA7">
          <wp:extent cx="1475105" cy="835025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0566CEB1" wp14:editId="5414188B">
              <wp:extent cx="2519045" cy="437515"/>
              <wp:effectExtent l="0" t="0" r="0" b="0"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045" cy="437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FE67D6" w14:textId="77777777" w:rsidR="0091645A" w:rsidRDefault="0091645A">
                          <w:pPr>
                            <w:pStyle w:val="Contenidodelmarc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566CEB1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width:198.35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" filled="f" stroked="f">
              <v:textbox inset="0,0,0,0">
                <w:txbxContent>
                  <w:p w14:paraId="21FE67D6" w14:textId="77777777" w:rsidR="0091645A" w:rsidRDefault="0091645A">
                    <w:pPr>
                      <w:pStyle w:val="Contenidodelmarco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478"/>
    <w:multiLevelType w:val="multilevel"/>
    <w:tmpl w:val="515A5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06CFA"/>
    <w:multiLevelType w:val="multilevel"/>
    <w:tmpl w:val="1E5E72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84774"/>
    <w:multiLevelType w:val="multilevel"/>
    <w:tmpl w:val="D6924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75F12"/>
    <w:multiLevelType w:val="multilevel"/>
    <w:tmpl w:val="0CDC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27464"/>
    <w:multiLevelType w:val="multilevel"/>
    <w:tmpl w:val="CAB2A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746DA"/>
    <w:multiLevelType w:val="multilevel"/>
    <w:tmpl w:val="961E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C18C6"/>
    <w:multiLevelType w:val="multilevel"/>
    <w:tmpl w:val="26DC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6617E2"/>
    <w:multiLevelType w:val="multilevel"/>
    <w:tmpl w:val="DBCC9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D72D6"/>
    <w:multiLevelType w:val="multilevel"/>
    <w:tmpl w:val="95D82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7361D0"/>
    <w:multiLevelType w:val="multilevel"/>
    <w:tmpl w:val="84CE770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9261D36"/>
    <w:multiLevelType w:val="multilevel"/>
    <w:tmpl w:val="B08E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AD6A16"/>
    <w:multiLevelType w:val="multilevel"/>
    <w:tmpl w:val="5B04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4002C"/>
    <w:multiLevelType w:val="multilevel"/>
    <w:tmpl w:val="95E2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C7720"/>
    <w:multiLevelType w:val="multilevel"/>
    <w:tmpl w:val="AB0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5A"/>
    <w:rsid w:val="0003357A"/>
    <w:rsid w:val="001D1C8D"/>
    <w:rsid w:val="00350685"/>
    <w:rsid w:val="0091645A"/>
    <w:rsid w:val="00974D0A"/>
    <w:rsid w:val="00AA7C5A"/>
    <w:rsid w:val="00B1775D"/>
    <w:rsid w:val="00B7761F"/>
    <w:rsid w:val="00BC6C43"/>
    <w:rsid w:val="00D83527"/>
    <w:rsid w:val="00D92513"/>
    <w:rsid w:val="00E8031D"/>
    <w:rsid w:val="00F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484A"/>
  <w15:docId w15:val="{5BBF9D0C-B2E1-49EE-9F9C-277479F2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Roboto" w:eastAsia="Roboto" w:hAnsi="Roboto" w:cs="Roboto"/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color w:val="8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  <w:rPr>
      <w:rFonts w:ascii="Tahoma" w:eastAsia="Tahoma" w:hAnsi="Tahoma" w:cs="Tahoma"/>
      <w:b/>
      <w:bCs/>
      <w:color w:val="00000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extoindependienteCar">
    <w:name w:val="Texto independiente Car"/>
    <w:basedOn w:val="Fuentedeprrafopredeter"/>
    <w:qFormat/>
    <w:rPr>
      <w:szCs w:val="21"/>
    </w:rPr>
  </w:style>
  <w:style w:type="character" w:customStyle="1" w:styleId="TextoindependienteCar1">
    <w:name w:val="Texto independiente Car1"/>
    <w:basedOn w:val="Fuentedeprrafopredeter"/>
    <w:qFormat/>
    <w:rPr>
      <w:rFonts w:ascii="Calibri" w:hAnsi="Calibri" w:cs="Calibri"/>
      <w:color w:val="00000A"/>
      <w:kern w:val="2"/>
      <w:sz w:val="22"/>
      <w:szCs w:val="22"/>
      <w:lang w:bidi="ar-SA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oindependiente">
    <w:name w:val="Body Text"/>
    <w:basedOn w:val="LO-Normal"/>
    <w:qFormat/>
    <w:pPr>
      <w:spacing w:after="120" w:line="276" w:lineRule="auto"/>
      <w:textAlignment w:val="auto"/>
    </w:pPr>
    <w:rPr>
      <w:rFonts w:ascii="Calibri" w:hAnsi="Calibri" w:cs="Calibri"/>
      <w:color w:val="00000A"/>
      <w:sz w:val="22"/>
      <w:szCs w:val="22"/>
      <w:lang w:bidi="ar-SA"/>
    </w:rPr>
  </w:style>
  <w:style w:type="paragraph" w:customStyle="1" w:styleId="LO-Normal">
    <w:name w:val="LO-Normal"/>
    <w:qFormat/>
    <w:pPr>
      <w:suppressAutoHyphens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styleId="Prrafodelista">
    <w:name w:val="List Paragraph"/>
    <w:basedOn w:val="Normal"/>
    <w:qFormat/>
    <w:pPr>
      <w:spacing w:after="200"/>
      <w:ind w:left="720"/>
    </w:pPr>
  </w:style>
  <w:style w:type="paragraph" w:customStyle="1" w:styleId="WW-Predeterminado">
    <w:name w:val="WW-Predeterminado"/>
    <w:qFormat/>
    <w:pPr>
      <w:widowControl w:val="0"/>
      <w:suppressAutoHyphens/>
    </w:pPr>
    <w:rPr>
      <w:rFonts w:ascii="Times New Roman" w:eastAsia="Times New Roman" w:hAnsi="Times New Roman" w:cs="Lucida Sans Unicode"/>
      <w:szCs w:val="20"/>
    </w:rPr>
  </w:style>
  <w:style w:type="paragraph" w:customStyle="1" w:styleId="Contenidodelatabla">
    <w:name w:val="Contenido de la tabla"/>
    <w:basedOn w:val="Normal"/>
    <w:qFormat/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  <w:qFormat/>
  </w:style>
  <w:style w:type="paragraph" w:customStyle="1" w:styleId="DocumentMap">
    <w:name w:val="DocumentMap"/>
    <w:qFormat/>
    <w:pPr>
      <w:spacing w:after="160" w:line="254" w:lineRule="auto"/>
      <w:textAlignment w:val="auto"/>
    </w:pPr>
    <w:rPr>
      <w:rFonts w:ascii="Calibri" w:hAnsi="Calibri" w:cs="Times New Roman"/>
      <w:sz w:val="22"/>
      <w:szCs w:val="22"/>
      <w:lang w:eastAsia="en-US" w:bidi="ar-SA"/>
    </w:rPr>
  </w:style>
  <w:style w:type="paragraph" w:customStyle="1" w:styleId="Standard">
    <w:name w:val="Standard"/>
    <w:qFormat/>
    <w:pPr>
      <w:suppressAutoHyphens/>
    </w:pPr>
    <w:rPr>
      <w:rFonts w:ascii="Times New Roman" w:hAnsi="Times New Roman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631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SEGURA ROMÁ, CARMEN</dc:creator>
  <dc:description/>
  <cp:lastModifiedBy>ESPIN HERVÁS, ANA YOLANDA</cp:lastModifiedBy>
  <cp:revision>12</cp:revision>
  <cp:lastPrinted>2020-10-08T08:23:00Z</cp:lastPrinted>
  <dcterms:created xsi:type="dcterms:W3CDTF">2022-10-24T12:27:00Z</dcterms:created>
  <dcterms:modified xsi:type="dcterms:W3CDTF">2022-12-12T08:14:00Z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